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tblPr>
      <w:tblGrid>
        <w:gridCol w:w="2250"/>
        <w:gridCol w:w="198"/>
        <w:gridCol w:w="261"/>
        <w:gridCol w:w="4266"/>
        <w:gridCol w:w="2070"/>
      </w:tblGrid>
      <w:tr w:rsidR="00000000">
        <w:tblPrEx>
          <w:tblCellMar>
            <w:top w:w="0" w:type="dxa"/>
            <w:bottom w:w="0" w:type="dxa"/>
          </w:tblCellMar>
        </w:tblPrEx>
        <w:trPr>
          <w:cantSplit/>
          <w:trHeight w:val="890"/>
        </w:trPr>
        <w:tc>
          <w:tcPr>
            <w:tcW w:w="6975" w:type="dxa"/>
            <w:gridSpan w:val="4"/>
            <w:tcBorders>
              <w:top w:val="single" w:sz="2" w:space="0" w:color="FFFFFF"/>
              <w:left w:val="single" w:sz="2" w:space="0" w:color="FFFFFF"/>
              <w:bottom w:val="single" w:sz="2" w:space="0" w:color="FFFFFF"/>
              <w:right w:val="single" w:sz="2" w:space="0" w:color="FFFFFF"/>
            </w:tcBorders>
          </w:tcPr>
          <w:p w:rsidR="00000000" w:rsidRDefault="00B81D67">
            <w:pPr>
              <w:pStyle w:val="oDataSheetMainHead"/>
              <w:rPr>
                <w:color w:val="auto"/>
              </w:rPr>
            </w:pPr>
            <w:r>
              <w:rPr>
                <w:color w:val="auto"/>
              </w:rPr>
              <w:t>AutoVue vuelink integration for oracle universal content management</w:t>
            </w:r>
          </w:p>
        </w:tc>
        <w:tc>
          <w:tcPr>
            <w:tcW w:w="1881" w:type="dxa"/>
            <w:tcBorders>
              <w:top w:val="single" w:sz="2" w:space="0" w:color="FFFFFF"/>
              <w:left w:val="single" w:sz="4" w:space="0" w:color="FFFFFF"/>
              <w:bottom w:val="single" w:sz="4" w:space="0" w:color="FFFFFF"/>
              <w:right w:val="single" w:sz="2" w:space="0" w:color="FFFFFF"/>
            </w:tcBorders>
          </w:tcPr>
          <w:p w:rsidR="00000000" w:rsidRDefault="00B81D67">
            <w:pPr>
              <w:pStyle w:val="oheaderpersonalized"/>
            </w:pPr>
          </w:p>
        </w:tc>
      </w:tr>
      <w:tr w:rsidR="00000000">
        <w:tblPrEx>
          <w:tblCellMar>
            <w:top w:w="0" w:type="dxa"/>
            <w:bottom w:w="0" w:type="dxa"/>
          </w:tblCellMar>
        </w:tblPrEx>
        <w:trPr>
          <w:cantSplit/>
        </w:trPr>
        <w:tc>
          <w:tcPr>
            <w:tcW w:w="2259" w:type="dxa"/>
            <w:gridSpan w:val="2"/>
            <w:tcBorders>
              <w:top w:val="single" w:sz="2" w:space="0" w:color="FFFFFF"/>
              <w:left w:val="single" w:sz="2" w:space="0" w:color="FFFFFF"/>
              <w:bottom w:val="single" w:sz="2" w:space="0" w:color="FFFFFF"/>
              <w:right w:val="single" w:sz="2" w:space="0" w:color="FFFFFF"/>
            </w:tcBorders>
          </w:tcPr>
          <w:p w:rsidR="00000000" w:rsidRDefault="00B81D67"/>
        </w:tc>
        <w:tc>
          <w:tcPr>
            <w:tcW w:w="261" w:type="dxa"/>
            <w:tcBorders>
              <w:top w:val="single" w:sz="2" w:space="0" w:color="FFFFFF"/>
              <w:left w:val="single" w:sz="2" w:space="0" w:color="FFFFFF"/>
              <w:bottom w:val="single" w:sz="2" w:space="0" w:color="FFFFFF"/>
              <w:right w:val="single" w:sz="2" w:space="0" w:color="FFFFFF"/>
            </w:tcBorders>
          </w:tcPr>
          <w:p w:rsidR="00000000" w:rsidRDefault="00B81D67"/>
        </w:tc>
        <w:tc>
          <w:tcPr>
            <w:tcW w:w="6336" w:type="dxa"/>
            <w:gridSpan w:val="2"/>
            <w:tcBorders>
              <w:top w:val="single" w:sz="2" w:space="0" w:color="FFFFFF"/>
              <w:left w:val="single" w:sz="2" w:space="0" w:color="FFFFFF"/>
              <w:bottom w:val="single" w:sz="2" w:space="0" w:color="FFFFFF"/>
              <w:right w:val="single" w:sz="2" w:space="0" w:color="FFFFFF"/>
            </w:tcBorders>
          </w:tcPr>
          <w:p w:rsidR="00000000" w:rsidRDefault="00B81D67"/>
        </w:tc>
      </w:tr>
      <w:tr w:rsidR="00000000">
        <w:tblPrEx>
          <w:tblCellMar>
            <w:top w:w="0" w:type="dxa"/>
            <w:bottom w:w="0" w:type="dxa"/>
          </w:tblCellMar>
        </w:tblPrEx>
        <w:trPr>
          <w:cantSplit/>
        </w:trPr>
        <w:tc>
          <w:tcPr>
            <w:tcW w:w="2448" w:type="dxa"/>
            <w:gridSpan w:val="2"/>
            <w:tcBorders>
              <w:top w:val="single" w:sz="2" w:space="0" w:color="FFFFFF"/>
              <w:left w:val="single" w:sz="2" w:space="0" w:color="FFFFFF"/>
              <w:bottom w:val="single" w:sz="2" w:space="0" w:color="FFFFFF"/>
              <w:right w:val="single" w:sz="2" w:space="0" w:color="FFFFFF"/>
            </w:tcBorders>
            <w:shd w:val="clear" w:color="auto" w:fill="FF0000"/>
          </w:tcPr>
          <w:p w:rsidR="00000000" w:rsidRDefault="00B81D67">
            <w:pPr>
              <w:pStyle w:val="osidebarhead"/>
            </w:pPr>
            <w:bookmarkStart w:id="0" w:name="OLE_LINK2"/>
            <w:r>
              <w:t>Key Features and Benefits</w:t>
            </w:r>
            <w:bookmarkEnd w:id="0"/>
          </w:p>
        </w:tc>
        <w:tc>
          <w:tcPr>
            <w:tcW w:w="261" w:type="dxa"/>
            <w:tcBorders>
              <w:top w:val="single" w:sz="2" w:space="0" w:color="FFFFFF"/>
              <w:left w:val="single" w:sz="2" w:space="0" w:color="FFFFFF"/>
              <w:bottom w:val="single" w:sz="2" w:space="0" w:color="FFFFFF"/>
              <w:right w:val="single" w:sz="2" w:space="0" w:color="FFFFFF"/>
            </w:tcBorders>
          </w:tcPr>
          <w:p w:rsidR="00000000" w:rsidRDefault="00B81D67"/>
        </w:tc>
        <w:tc>
          <w:tcPr>
            <w:tcW w:w="6336" w:type="dxa"/>
            <w:gridSpan w:val="2"/>
            <w:tcBorders>
              <w:top w:val="single" w:sz="2" w:space="0" w:color="FFFFFF"/>
              <w:left w:val="single" w:sz="2" w:space="0" w:color="FFFFFF"/>
              <w:bottom w:val="single" w:sz="2" w:space="0" w:color="FFFFFF"/>
              <w:right w:val="single" w:sz="2" w:space="0" w:color="FFFFFF"/>
            </w:tcBorders>
          </w:tcPr>
          <w:p w:rsidR="00000000" w:rsidRDefault="00B81D67"/>
        </w:tc>
      </w:tr>
      <w:tr w:rsidR="00000000">
        <w:tblPrEx>
          <w:tblCellMar>
            <w:top w:w="0" w:type="dxa"/>
            <w:bottom w:w="0" w:type="dxa"/>
          </w:tblCellMar>
        </w:tblPrEx>
        <w:tc>
          <w:tcPr>
            <w:tcW w:w="2250" w:type="dxa"/>
            <w:tcBorders>
              <w:top w:val="single" w:sz="4" w:space="0" w:color="FFFFFF"/>
              <w:left w:val="single" w:sz="4" w:space="0" w:color="FFFFFF"/>
              <w:bottom w:val="single" w:sz="4" w:space="0" w:color="FFFFFF"/>
              <w:right w:val="single" w:sz="4" w:space="0" w:color="FFFFFF"/>
            </w:tcBorders>
          </w:tcPr>
          <w:p w:rsidR="00000000" w:rsidRDefault="00B81D67">
            <w:pPr>
              <w:pStyle w:val="osidebarintro"/>
            </w:pPr>
            <w:r>
              <w:t>Key Features</w:t>
            </w:r>
          </w:p>
          <w:p w:rsidR="00000000" w:rsidRDefault="00B81D67">
            <w:pPr>
              <w:pStyle w:val="osidebarbullet"/>
            </w:pPr>
            <w:r>
              <w:t>Native document viewing</w:t>
            </w:r>
          </w:p>
          <w:p w:rsidR="00000000" w:rsidRDefault="00B81D67">
            <w:pPr>
              <w:pStyle w:val="osidebarbullet"/>
            </w:pPr>
            <w:r>
              <w:t>Hundreds of supported formats</w:t>
            </w:r>
          </w:p>
          <w:p w:rsidR="00000000" w:rsidRDefault="00B81D67">
            <w:pPr>
              <w:pStyle w:val="osidebarbullet"/>
            </w:pPr>
            <w:r>
              <w:t>Real-time collaboration</w:t>
            </w:r>
          </w:p>
          <w:p w:rsidR="00000000" w:rsidRDefault="00B81D67">
            <w:pPr>
              <w:pStyle w:val="osidebarbullet"/>
            </w:pPr>
            <w:r>
              <w:t>Document comparison</w:t>
            </w:r>
          </w:p>
          <w:p w:rsidR="00000000" w:rsidRDefault="00B81D67">
            <w:pPr>
              <w:pStyle w:val="osidebarbullet"/>
            </w:pPr>
            <w:r>
              <w:t xml:space="preserve">Measurements </w:t>
            </w:r>
          </w:p>
          <w:p w:rsidR="00000000" w:rsidRDefault="00B81D67">
            <w:pPr>
              <w:pStyle w:val="osidebarbullet"/>
            </w:pPr>
            <w:r>
              <w:t>Markups, annotations, and co</w:t>
            </w:r>
            <w:r>
              <w:t>mments saved to the content management repository</w:t>
            </w:r>
          </w:p>
          <w:p w:rsidR="00000000" w:rsidRDefault="00B81D67">
            <w:pPr>
              <w:pStyle w:val="osidebarbullet"/>
              <w:numPr>
                <w:ilvl w:val="0"/>
                <w:numId w:val="0"/>
              </w:numPr>
            </w:pPr>
          </w:p>
          <w:p w:rsidR="00000000" w:rsidRDefault="00B81D67">
            <w:pPr>
              <w:pStyle w:val="osidebarintro"/>
            </w:pPr>
            <w:r>
              <w:t>Key Benefits</w:t>
            </w:r>
          </w:p>
          <w:p w:rsidR="00000000" w:rsidRDefault="00B81D67">
            <w:pPr>
              <w:pStyle w:val="osidebarbullet"/>
            </w:pPr>
            <w:r>
              <w:t>Visualize CAD and engineering files within Oracle Universal Content Management</w:t>
            </w:r>
          </w:p>
          <w:p w:rsidR="00000000" w:rsidRDefault="00B81D67">
            <w:pPr>
              <w:pStyle w:val="osidebarbullet"/>
            </w:pPr>
            <w:r>
              <w:t>Empower teams with access to both technical and nontechnical documents</w:t>
            </w:r>
          </w:p>
          <w:p w:rsidR="00000000" w:rsidRDefault="00B81D67">
            <w:pPr>
              <w:pStyle w:val="osidebarbullet"/>
              <w:rPr>
                <w:lang w:val="fr-FR"/>
              </w:rPr>
            </w:pPr>
            <w:r>
              <w:rPr>
                <w:lang w:val="fr-FR"/>
              </w:rPr>
              <w:t>Leverage Oracle Universal Content Manageme</w:t>
            </w:r>
            <w:r>
              <w:rPr>
                <w:lang w:val="fr-FR"/>
              </w:rPr>
              <w:t>nt solutions</w:t>
            </w:r>
          </w:p>
          <w:p w:rsidR="00000000" w:rsidRDefault="00B81D67">
            <w:pPr>
              <w:pStyle w:val="osidebarbullet"/>
            </w:pPr>
            <w:r>
              <w:t>Enhance collaboration and improve the way information is communicated</w:t>
            </w:r>
          </w:p>
          <w:p w:rsidR="00000000" w:rsidRDefault="00B81D67">
            <w:pPr>
              <w:pStyle w:val="osidebarbullet"/>
            </w:pPr>
            <w:r>
              <w:t>Maintain document integrity and set a higher level of document security</w:t>
            </w:r>
          </w:p>
          <w:p w:rsidR="00000000" w:rsidRDefault="00B81D67">
            <w:pPr>
              <w:pStyle w:val="osidebarbullet"/>
            </w:pPr>
            <w:r>
              <w:t>Reduce costs related to the purchase of expensive software applications</w:t>
            </w:r>
          </w:p>
          <w:p w:rsidR="00000000" w:rsidRDefault="00B81D67">
            <w:pPr>
              <w:pStyle w:val="osidebarbullet"/>
              <w:numPr>
                <w:ilvl w:val="0"/>
                <w:numId w:val="0"/>
              </w:numPr>
            </w:pPr>
          </w:p>
          <w:p w:rsidR="00000000" w:rsidRDefault="00B81D67">
            <w:pPr>
              <w:pStyle w:val="osidebartext"/>
              <w:jc w:val="right"/>
            </w:pPr>
          </w:p>
        </w:tc>
        <w:tc>
          <w:tcPr>
            <w:tcW w:w="270" w:type="dxa"/>
            <w:gridSpan w:val="2"/>
            <w:tcBorders>
              <w:top w:val="single" w:sz="4" w:space="0" w:color="FFFFFF"/>
              <w:left w:val="single" w:sz="4" w:space="0" w:color="FFFFFF"/>
              <w:bottom w:val="single" w:sz="4" w:space="0" w:color="FFFFFF"/>
              <w:right w:val="single" w:sz="4" w:space="0" w:color="FFFFFF"/>
            </w:tcBorders>
          </w:tcPr>
          <w:p w:rsidR="00000000" w:rsidRDefault="00B81D67">
            <w:pPr>
              <w:pStyle w:val="osidebartext"/>
            </w:pPr>
          </w:p>
        </w:tc>
        <w:tc>
          <w:tcPr>
            <w:tcW w:w="6336" w:type="dxa"/>
            <w:gridSpan w:val="2"/>
            <w:tcBorders>
              <w:top w:val="single" w:sz="4" w:space="0" w:color="FFFFFF"/>
              <w:left w:val="single" w:sz="4" w:space="0" w:color="FFFFFF"/>
              <w:bottom w:val="single" w:sz="4" w:space="0" w:color="FFFFFF"/>
              <w:right w:val="single" w:sz="4" w:space="0" w:color="FFFFFF"/>
            </w:tcBorders>
          </w:tcPr>
          <w:p w:rsidR="00000000" w:rsidRDefault="00B81D67">
            <w:pPr>
              <w:pStyle w:val="ointroduction"/>
            </w:pPr>
            <w:r>
              <w:t>With Oracle’s AutoVue VueL</w:t>
            </w:r>
            <w:r>
              <w:t>ink Integration for Oracle Universal Content Management, organizations gain the most value from their digital documents. When integrated with Oracle Universal Content Management, AutoVue enterprise visualization products make technical data and product inf</w:t>
            </w:r>
            <w:r>
              <w:t xml:space="preserve">ormation available across the enterprise and empower teams at all phases of the product lifecycle to view, annotate, review, and collaborate on technical and nontechnical documents in a powerful, flexible, and secure manner. </w:t>
            </w:r>
          </w:p>
          <w:p w:rsidR="00000000" w:rsidRDefault="00B81D67">
            <w:pPr>
              <w:pStyle w:val="obodysubhead1"/>
            </w:pPr>
            <w:r>
              <w:t>Make Technical Information Ass</w:t>
            </w:r>
            <w:r>
              <w:t>ets Widely Available</w:t>
            </w:r>
          </w:p>
          <w:p w:rsidR="00000000" w:rsidRDefault="00B81D67">
            <w:pPr>
              <w:pStyle w:val="obodytext"/>
            </w:pPr>
            <w:r>
              <w:t xml:space="preserve">With the AutoVue VueLink Integration for Oracle Universal Content Management, AutoVue enterprise visualization products provide both engineers and nontechnical users with easy access to hundreds of document types stored in the content </w:t>
            </w:r>
            <w:r>
              <w:t>management repository. These documents are available for viewing, printing, collaboration, annotation, and mark up. Regardless of the users’ technical skill level, all team members have immediate access to accurate technical product information</w:t>
            </w:r>
            <w:bookmarkStart w:id="1" w:name="OLE_LINK3"/>
            <w:r>
              <w:rPr>
                <w:i/>
              </w:rPr>
              <w:t>—</w:t>
            </w:r>
            <w:bookmarkEnd w:id="1"/>
            <w:r>
              <w:t>including 3</w:t>
            </w:r>
            <w:r>
              <w:t>-D parts and assemblies, 2-D computer-aided design (CAD) drawings and their associated external reference files, printed circuit board layouts and schematics, Office documents, and graphics. Information flows throughout the entire product lifecycle, allowi</w:t>
            </w:r>
            <w:r>
              <w:t>ng teams to quickly make sound business decisions based on reliable data.</w:t>
            </w:r>
          </w:p>
          <w:p w:rsidR="00000000" w:rsidRDefault="00B81D67">
            <w:pPr>
              <w:pStyle w:val="obodysubhead1"/>
            </w:pPr>
            <w:r>
              <w:t xml:space="preserve">Eliminate Costly and Error-Prone Document Conversions </w:t>
            </w:r>
          </w:p>
          <w:p w:rsidR="00000000" w:rsidRDefault="00B81D67">
            <w:pPr>
              <w:pStyle w:val="obodytext"/>
            </w:pPr>
            <w:r>
              <w:t>Providing the ability to open and view native documents without the authoring application, AutoVue enterprise visualization pro</w:t>
            </w:r>
            <w:r>
              <w:t xml:space="preserve">ducts eliminate the need for time-consuming and error-prone document conversions and translations to ensure that teams are always working with the latest version of a file. </w:t>
            </w:r>
          </w:p>
          <w:p w:rsidR="00000000" w:rsidRDefault="00B81D67">
            <w:pPr>
              <w:pStyle w:val="obodytext"/>
            </w:pPr>
            <w:r>
              <w:t>Since file conversion is not required, AutoVue enterprise visualization products a</w:t>
            </w:r>
            <w:r>
              <w:t>lso eliminate the tedious task of creating and managing a double set of data, such as the original document and the converted/neutral files. The cost and complexity of maintaining multiple client-side viewers and server-side conversion systems is also elim</w:t>
            </w:r>
            <w:r>
              <w:t xml:space="preserve">inated, delivering a simpler IT infrastructure for enterprise visualization. </w:t>
            </w:r>
          </w:p>
          <w:p w:rsidR="00000000" w:rsidRDefault="00B81D67">
            <w:pPr>
              <w:pStyle w:val="obodysubhead1"/>
            </w:pPr>
            <w:r>
              <w:t>Expedite the Document Review Process</w:t>
            </w:r>
          </w:p>
          <w:p w:rsidR="00000000" w:rsidRDefault="00B81D67">
            <w:pPr>
              <w:pStyle w:val="obodytext"/>
            </w:pPr>
            <w:r>
              <w:t>Adding the powerful annotation and real-time collaboration capabilities of AutoVue enterprise visualization products to Oracle Universal Cont</w:t>
            </w:r>
            <w:r>
              <w:t>ent Management, organizations can automate and expedite document reviews.</w:t>
            </w:r>
          </w:p>
          <w:p w:rsidR="00000000" w:rsidRDefault="00B81D67">
            <w:pPr>
              <w:pStyle w:val="obodytext"/>
            </w:pPr>
            <w:r>
              <w:lastRenderedPageBreak/>
              <w:t>AutoVue enterprise visualization products’ rich set of markup entities allows users to digitally annotate documents and effectively communicate feedback, change requests, and instruc</w:t>
            </w:r>
            <w:r>
              <w:t>tions in context of the design. All markups and annotations are created as distinct overlays</w:t>
            </w:r>
            <w:r>
              <w:rPr>
                <w:i/>
              </w:rPr>
              <w:t>—</w:t>
            </w:r>
            <w:r>
              <w:t>on top of the original file</w:t>
            </w:r>
            <w:r>
              <w:rPr>
                <w:i/>
              </w:rPr>
              <w:t>—</w:t>
            </w:r>
            <w:r>
              <w:t>and saved directly into the Oracle Universal Content Management vault, providing users with a reliable trail of historical changes. Rev</w:t>
            </w:r>
            <w:r>
              <w:t>iewers can then turn markup layers on and off as needed, selecting only those that they wish to view.</w:t>
            </w:r>
          </w:p>
          <w:p w:rsidR="00000000" w:rsidRDefault="00B81D67">
            <w:pPr>
              <w:pStyle w:val="NormalWeb"/>
              <w:spacing w:before="0" w:beforeAutospacing="0" w:afterAutospacing="0" w:line="280" w:lineRule="atLeast"/>
            </w:pPr>
            <w:r>
              <w:rPr>
                <w:noProof/>
              </w:rPr>
              <w:drawing>
                <wp:inline distT="0" distB="0" distL="0" distR="0">
                  <wp:extent cx="2905125" cy="2905125"/>
                  <wp:effectExtent l="19050" t="0" r="9525" b="0"/>
                  <wp:docPr id="2" name="Picture 2" descr="mont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tage2"/>
                          <pic:cNvPicPr>
                            <a:picLocks noChangeAspect="1" noChangeArrowheads="1"/>
                          </pic:cNvPicPr>
                        </pic:nvPicPr>
                        <pic:blipFill>
                          <a:blip r:embed="rId7" cstate="print"/>
                          <a:srcRect/>
                          <a:stretch>
                            <a:fillRect/>
                          </a:stretch>
                        </pic:blipFill>
                        <pic:spPr bwMode="auto">
                          <a:xfrm>
                            <a:off x="0" y="0"/>
                            <a:ext cx="2905125" cy="2905125"/>
                          </a:xfrm>
                          <a:prstGeom prst="rect">
                            <a:avLst/>
                          </a:prstGeom>
                          <a:noFill/>
                          <a:ln w="9525">
                            <a:noFill/>
                            <a:miter lim="800000"/>
                            <a:headEnd/>
                            <a:tailEnd/>
                          </a:ln>
                        </pic:spPr>
                      </pic:pic>
                    </a:graphicData>
                  </a:graphic>
                </wp:inline>
              </w:drawing>
            </w:r>
          </w:p>
          <w:p w:rsidR="00000000" w:rsidRDefault="00B81D67">
            <w:pPr>
              <w:pStyle w:val="obodyphotonote"/>
            </w:pPr>
            <w:r>
              <w:t xml:space="preserve">Figure 1: View, review, annotate, and collaborate on hundreds of document types in their native format and avoid common file conversion errors—all from </w:t>
            </w:r>
            <w:r>
              <w:t xml:space="preserve">directly within your Oracle Universal Content Management environment. </w:t>
            </w:r>
          </w:p>
          <w:p w:rsidR="00000000" w:rsidRDefault="00B81D67">
            <w:pPr>
              <w:pStyle w:val="obodysubhead1"/>
              <w:spacing w:line="240" w:lineRule="auto"/>
            </w:pPr>
            <w:r>
              <w:t>Set a Higher Level of Document Security</w:t>
            </w:r>
          </w:p>
          <w:p w:rsidR="00000000" w:rsidRDefault="00B81D67">
            <w:pPr>
              <w:pStyle w:val="obodytext"/>
            </w:pPr>
            <w:r>
              <w:t>Organizations that share information with third parties or internal users can rely on AutoVue enterprise visualization products to set a high lev</w:t>
            </w:r>
            <w:r>
              <w:t>el of document security. AutoVue enterprise visualization products follows authentication and security models based on Oracle Universal Content Management and ensures the original document, with its proprietary data, is never transferred to the client mach</w:t>
            </w:r>
            <w:r>
              <w:t>ine. Users only have access to a rendering of a document for viewing and markup.</w:t>
            </w:r>
          </w:p>
          <w:p w:rsidR="00000000" w:rsidRDefault="00B81D67">
            <w:pPr>
              <w:pStyle w:val="obodysubhead1"/>
              <w:spacing w:line="240" w:lineRule="auto"/>
            </w:pPr>
            <w:r>
              <w:t>Contact Us</w:t>
            </w:r>
          </w:p>
          <w:p w:rsidR="00000000" w:rsidRDefault="00B81D67">
            <w:pPr>
              <w:pStyle w:val="obodytext"/>
              <w:rPr>
                <w:rFonts w:ascii="Arial" w:hAnsi="Arial"/>
              </w:rPr>
            </w:pPr>
            <w:r>
              <w:t>For more information about Oracle’s AutoVue VueLink Integration for Oracle Universal Content Management, please visit oracle.com/applications/autovue or call +1.800</w:t>
            </w:r>
            <w:r>
              <w:t>.361.1904 or +1.514.735.3219 to speak to an Oracle representative.</w:t>
            </w:r>
          </w:p>
          <w:p w:rsidR="00000000" w:rsidRDefault="00B81D67">
            <w:pPr>
              <w:pStyle w:val="LEGAL"/>
              <w:rPr>
                <w:rFonts w:ascii="Arial" w:hAnsi="Arial"/>
              </w:rPr>
            </w:pPr>
          </w:p>
          <w:p w:rsidR="00000000" w:rsidRDefault="00B81D67">
            <w:pPr>
              <w:pStyle w:val="LEGAL"/>
              <w:rPr>
                <w:rFonts w:ascii="Arial" w:hAnsi="Arial"/>
              </w:rPr>
            </w:pPr>
            <w:r>
              <w:rPr>
                <w:rFonts w:ascii="Arial" w:hAnsi="Arial"/>
              </w:rPr>
              <w:t>Copyright © 2008, Oracle and/or its affiliates. All rights reserved.</w:t>
            </w:r>
          </w:p>
          <w:p w:rsidR="00000000" w:rsidRDefault="00B81D67">
            <w:pPr>
              <w:pStyle w:val="LEGAL"/>
              <w:rPr>
                <w:rFonts w:ascii="Arial" w:hAnsi="Arial"/>
              </w:rPr>
            </w:pPr>
          </w:p>
          <w:p w:rsidR="00000000" w:rsidRDefault="00B81D67">
            <w:pPr>
              <w:pStyle w:val="LEGAL"/>
              <w:rPr>
                <w:rFonts w:ascii="Arial" w:hAnsi="Arial"/>
              </w:rPr>
            </w:pPr>
            <w:r>
              <w:rPr>
                <w:rFonts w:ascii="Arial" w:hAnsi="Arial"/>
              </w:rPr>
              <w:t>This document is provided for information purposes only, and the contents hereof are subject to change without notice.</w:t>
            </w:r>
            <w:r>
              <w:rPr>
                <w:rFonts w:ascii="Arial" w:hAnsi="Arial"/>
              </w:rPr>
              <w:t xml:space="preserve"> This document is not warranted to be error-free, nor is it subject to any other warranties or conditions, whether expressed orally or implied in law, including implied warranties and conditions of merchantability or fitness for a particular purpose. We sp</w:t>
            </w:r>
            <w:r>
              <w:rPr>
                <w:rFonts w:ascii="Arial" w:hAnsi="Arial"/>
              </w:rPr>
              <w:t>ecifically disclaim any liability with respect to this document, and no contractual obligations are formed either directly or indirectly by this document. This document may not be reproduced or transmitted in any form or by any means, electronic or mechani</w:t>
            </w:r>
            <w:r>
              <w:rPr>
                <w:rFonts w:ascii="Arial" w:hAnsi="Arial"/>
              </w:rPr>
              <w:t>cal, for any purpose, without our prior written permission.</w:t>
            </w:r>
          </w:p>
          <w:p w:rsidR="00000000" w:rsidRDefault="00B81D67">
            <w:pPr>
              <w:pStyle w:val="LEGAL"/>
              <w:rPr>
                <w:rFonts w:ascii="Arial" w:hAnsi="Arial"/>
              </w:rPr>
            </w:pPr>
          </w:p>
          <w:p w:rsidR="00000000" w:rsidRDefault="00B81D67">
            <w:pPr>
              <w:pStyle w:val="LEGAL"/>
              <w:rPr>
                <w:rFonts w:ascii="Arial" w:hAnsi="Arial" w:cs="Arial"/>
              </w:rPr>
            </w:pPr>
            <w:r>
              <w:rPr>
                <w:rFonts w:ascii="Arial" w:hAnsi="Arial" w:cs="Arial"/>
              </w:rPr>
              <w:t>Oracle is a registered trademark of Oracle Corporation and/or its affiliates. Other names may be trademarks of their respective owners.</w:t>
            </w:r>
          </w:p>
        </w:tc>
      </w:tr>
    </w:tbl>
    <w:p w:rsidR="00000000" w:rsidRDefault="00B81D67">
      <w:pPr>
        <w:pStyle w:val="obodytext"/>
      </w:pPr>
      <w:r>
        <w:rPr>
          <w:noProof/>
          <w:sz w:val="20"/>
        </w:rPr>
        <w:lastRenderedPageBreak/>
        <w:pict>
          <v:shapetype id="_x0000_t202" coordsize="21600,21600" o:spt="202" path="m,l,21600r21600,l21600,xe">
            <v:stroke joinstyle="miter"/>
            <v:path gradientshapeok="t" o:connecttype="rect"/>
          </v:shapetype>
          <v:shape id="_x0000_s1026" type="#_x0000_t202" style="position:absolute;margin-left:60.5pt;margin-top:74.15pt;width:147.6pt;height:31.75pt;z-index:251658240;mso-position-horizontal-relative:page;mso-position-vertical-relative:page" o:allowincell="f" filled="f" stroked="f">
            <v:textbox style="mso-next-textbox:#_x0000_s1026">
              <w:txbxContent>
                <w:tbl>
                  <w:tblPr>
                    <w:tblW w:w="0" w:type="auto"/>
                    <w:tblInd w:w="441" w:type="dxa"/>
                    <w:tblLayout w:type="fixed"/>
                    <w:tblLook w:val="0000"/>
                  </w:tblPr>
                  <w:tblGrid>
                    <w:gridCol w:w="2106"/>
                  </w:tblGrid>
                  <w:tr w:rsidR="00000000">
                    <w:tblPrEx>
                      <w:tblCellMar>
                        <w:top w:w="0" w:type="dxa"/>
                        <w:bottom w:w="0" w:type="dxa"/>
                      </w:tblCellMar>
                    </w:tblPrEx>
                    <w:trPr>
                      <w:cantSplit/>
                    </w:trPr>
                    <w:tc>
                      <w:tcPr>
                        <w:tcW w:w="2106" w:type="dxa"/>
                        <w:shd w:val="clear" w:color="auto" w:fill="FF0000"/>
                      </w:tcPr>
                      <w:p w:rsidR="00000000" w:rsidRDefault="00B81D67">
                        <w:pPr>
                          <w:pStyle w:val="osidebarhead"/>
                        </w:pPr>
                        <w:r>
                          <w:t>Related</w:t>
                        </w:r>
                        <w:r>
                          <w:t xml:space="preserve"> Products</w:t>
                        </w:r>
                      </w:p>
                    </w:tc>
                  </w:tr>
                </w:tbl>
                <w:p w:rsidR="00000000" w:rsidRDefault="00B81D67">
                  <w:pPr>
                    <w:pStyle w:val="osidebarhead"/>
                  </w:pPr>
                </w:p>
              </w:txbxContent>
            </v:textbox>
            <w10:wrap anchorx="page" anchory="page"/>
            <w10:anchorlock/>
          </v:shape>
        </w:pict>
      </w:r>
      <w:r>
        <w:rPr>
          <w:noProof/>
          <w:sz w:val="20"/>
        </w:rPr>
        <w:pict>
          <v:shape id="_x0000_s1027" type="#_x0000_t202" style="position:absolute;margin-left:85.05pt;margin-top:104.4pt;width:104.25pt;height:565.1pt;z-index:251657216;mso-position-horizontal-relative:page;mso-position-vertical-relative:page" filled="f" stroked="f">
            <v:textbox style="mso-next-textbox:#_x0000_s1027">
              <w:txbxContent>
                <w:p w:rsidR="00000000" w:rsidRDefault="00B81D67">
                  <w:pPr>
                    <w:pStyle w:val="osidebarintro"/>
                  </w:pPr>
                  <w:r>
                    <w:t>Oracle’s AUtoVue Enterprise Visualization Products</w:t>
                  </w:r>
                </w:p>
                <w:p w:rsidR="00000000" w:rsidRDefault="00B81D67">
                  <w:pPr>
                    <w:pStyle w:val="osidebartext"/>
                  </w:pPr>
                  <w:r>
                    <w:t>Increase productivity, achieve faster time to market, and eliminate the cost associated with multiple server-side and client-side viewers. Through a standard browser interface, Oracle’s enterp</w:t>
                  </w:r>
                  <w:r>
                    <w:t>rise visualization products enable users to view, annotate, and collaborate on documents that originate from more than 450 different formats without requiring the authoring application. Oracle provides AutoVue VueLink integrations for Oracle Universal Cont</w:t>
                  </w:r>
                  <w:r>
                    <w:t>ent Management, ENOVIA MatrixOne, Microsoft SharePoint, Documentum, and SAP Product Lifecycle Management.</w:t>
                  </w:r>
                </w:p>
                <w:p w:rsidR="00000000" w:rsidRDefault="00B81D67">
                  <w:pPr>
                    <w:pStyle w:val="osidebartext"/>
                  </w:pPr>
                </w:p>
                <w:p w:rsidR="00000000" w:rsidRDefault="00B81D67">
                  <w:pPr>
                    <w:pStyle w:val="osidebartext"/>
                  </w:pPr>
                </w:p>
                <w:p w:rsidR="00000000" w:rsidRDefault="00B81D67">
                  <w:pPr>
                    <w:pStyle w:val="osidebarintro"/>
                  </w:pPr>
                  <w:r>
                    <w:t xml:space="preserve">Related products </w:t>
                  </w:r>
                </w:p>
                <w:p w:rsidR="00000000" w:rsidRDefault="00B81D67">
                  <w:pPr>
                    <w:pStyle w:val="osidebarbullet"/>
                  </w:pPr>
                  <w:r>
                    <w:t>AutoVue Office</w:t>
                  </w:r>
                </w:p>
                <w:p w:rsidR="00000000" w:rsidRDefault="00B81D67">
                  <w:pPr>
                    <w:pStyle w:val="osidebarbullet"/>
                  </w:pPr>
                  <w:r>
                    <w:t>AutoVue 2D Professional</w:t>
                  </w:r>
                </w:p>
                <w:p w:rsidR="00000000" w:rsidRDefault="00B81D67">
                  <w:pPr>
                    <w:pStyle w:val="osidebarbullet"/>
                  </w:pPr>
                  <w:r>
                    <w:t>AutoVue 3D Professional Advanced</w:t>
                  </w:r>
                </w:p>
                <w:p w:rsidR="00000000" w:rsidRDefault="00B81D67">
                  <w:pPr>
                    <w:pStyle w:val="osidebarbullet"/>
                  </w:pPr>
                  <w:r>
                    <w:t>AutoVue EDA Professional</w:t>
                  </w:r>
                </w:p>
                <w:p w:rsidR="00000000" w:rsidRDefault="00B81D67">
                  <w:pPr>
                    <w:pStyle w:val="osidebarbullet"/>
                  </w:pPr>
                  <w:r>
                    <w:t>AutoVue Electro-Mechanical Profes</w:t>
                  </w:r>
                  <w:r>
                    <w:t xml:space="preserve">sional </w:t>
                  </w:r>
                </w:p>
              </w:txbxContent>
            </v:textbox>
            <w10:wrap anchorx="page" anchory="page"/>
            <w10:anchorlock/>
          </v:shape>
        </w:pict>
      </w:r>
    </w:p>
    <w:sectPr w:rsidR="00000000">
      <w:headerReference w:type="default" r:id="rId8"/>
      <w:footerReference w:type="default" r:id="rId9"/>
      <w:pgSz w:w="12240" w:h="15840" w:code="1"/>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B81D67">
      <w:r>
        <w:separator/>
      </w:r>
    </w:p>
  </w:endnote>
  <w:endnote w:type="continuationSeparator" w:id="1">
    <w:p w:rsidR="00000000" w:rsidRDefault="00B81D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Univers LT Std 55">
    <w:panose1 w:val="00000000000000000000"/>
    <w:charset w:val="00"/>
    <w:family w:val="swiss"/>
    <w:notTrueType/>
    <w:pitch w:val="variable"/>
    <w:sig w:usb0="800000AF" w:usb1="4000204A"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fficina Sans ITC TT">
    <w:altName w:val="Officina Sans ITC T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1D67">
    <w:pPr>
      <w:pStyle w:val="ofooter"/>
    </w:pPr>
    <w:r>
      <w:tab/>
    </w:r>
    <w:r>
      <w:fldChar w:fldCharType="begin"/>
    </w:r>
    <w:r>
      <w:instrText xml:space="preserve"> PAGE </w:instrText>
    </w:r>
    <w:r>
      <w:fldChar w:fldCharType="separate"/>
    </w:r>
    <w:r>
      <w:rPr>
        <w:noProof/>
      </w:rPr>
      <w:t>1</w:t>
    </w:r>
    <w:r>
      <w:fldChar w:fldCharType="end"/>
    </w:r>
    <w:r>
      <w:rPr>
        <w:rFonts w:ascii="Garamond" w:hAnsi="Garamond"/>
      </w:rPr>
      <w:tab/>
    </w:r>
    <w:bookmarkStart w:id="2" w:name="OLE_LINK1"/>
    <w:r>
      <w:rPr>
        <w:noProof/>
        <w:sz w:val="20"/>
      </w:rPr>
      <w:drawing>
        <wp:inline distT="0" distB="0" distL="0" distR="0">
          <wp:extent cx="1181100" cy="190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81100" cy="190500"/>
                  </a:xfrm>
                  <a:prstGeom prst="rect">
                    <a:avLst/>
                  </a:prstGeom>
                  <a:noFill/>
                  <a:ln w="9525">
                    <a:noFill/>
                    <a:miter lim="800000"/>
                    <a:headEnd/>
                    <a:tailEnd/>
                  </a:ln>
                </pic:spPr>
              </pic:pic>
            </a:graphicData>
          </a:graphic>
        </wp:inline>
      </w:drawing>
    </w:r>
    <w:bookmarkEnd w:id="2"/>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B81D67">
      <w:r>
        <w:separator/>
      </w:r>
    </w:p>
  </w:footnote>
  <w:footnote w:type="continuationSeparator" w:id="1">
    <w:p w:rsidR="00000000" w:rsidRDefault="00B81D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1D67">
    <w:pPr>
      <w:pStyle w:val="oheadertitle"/>
    </w:pPr>
    <w:r>
      <w:t xml:space="preserve">ORACLE </w:t>
    </w:r>
    <w:r>
      <w:rPr>
        <w:b/>
        <w:bCs/>
      </w:rPr>
      <w:t>Data Sheet</w:t>
    </w:r>
  </w:p>
  <w:p w:rsidR="00000000" w:rsidRDefault="00B81D67">
    <w:pPr>
      <w:pStyle w:val="oheaderpersonaliz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72FA4"/>
    <w:multiLevelType w:val="singleLevel"/>
    <w:tmpl w:val="12C0B7A0"/>
    <w:lvl w:ilvl="0">
      <w:start w:val="1"/>
      <w:numFmt w:val="bullet"/>
      <w:pStyle w:val="osidebarbullet"/>
      <w:lvlText w:val=""/>
      <w:lvlJc w:val="left"/>
      <w:pPr>
        <w:tabs>
          <w:tab w:val="num" w:pos="360"/>
        </w:tabs>
        <w:ind w:left="144" w:hanging="144"/>
      </w:pPr>
      <w:rPr>
        <w:rFonts w:ascii="Symbol" w:hAnsi="Symbol" w:cs="Times New Roman" w:hint="default"/>
        <w:color w:val="auto"/>
        <w:position w:val="2"/>
        <w:sz w:val="12"/>
        <w:szCs w:val="12"/>
      </w:rPr>
    </w:lvl>
  </w:abstractNum>
  <w:abstractNum w:abstractNumId="1">
    <w:nsid w:val="6FAF652A"/>
    <w:multiLevelType w:val="singleLevel"/>
    <w:tmpl w:val="0409000F"/>
    <w:lvl w:ilvl="0">
      <w:start w:val="1"/>
      <w:numFmt w:val="decimal"/>
      <w:lvlText w:val="%1."/>
      <w:lvlJc w:val="left"/>
      <w:pPr>
        <w:tabs>
          <w:tab w:val="num" w:pos="360"/>
        </w:tabs>
        <w:ind w:left="360" w:hanging="360"/>
      </w:pPr>
    </w:lvl>
  </w:abstractNum>
  <w:abstractNum w:abstractNumId="2">
    <w:nsid w:val="7C745354"/>
    <w:multiLevelType w:val="singleLevel"/>
    <w:tmpl w:val="6A4EC0FE"/>
    <w:lvl w:ilvl="0">
      <w:start w:val="1"/>
      <w:numFmt w:val="bullet"/>
      <w:pStyle w:val="obodybullet"/>
      <w:lvlText w:val=""/>
      <w:lvlJc w:val="left"/>
      <w:pPr>
        <w:tabs>
          <w:tab w:val="num" w:pos="720"/>
        </w:tabs>
        <w:ind w:left="504" w:hanging="144"/>
      </w:pPr>
      <w:rPr>
        <w:rFonts w:ascii="Symbol" w:hAnsi="Symbol" w:cs="Times New Roman" w:hint="default"/>
        <w:color w:val="auto"/>
        <w:position w:val="2"/>
        <w:sz w:val="12"/>
        <w:szCs w:val="12"/>
      </w:rPr>
    </w:lvl>
  </w:abstractNum>
  <w:abstractNum w:abstractNumId="3">
    <w:nsid w:val="7D6A2216"/>
    <w:multiLevelType w:val="multilevel"/>
    <w:tmpl w:val="B2B2E8FE"/>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Times New Roman" w:hint="default"/>
      </w:rPr>
    </w:lvl>
    <w:lvl w:ilvl="3">
      <w:start w:val="1"/>
      <w:numFmt w:val="bullet"/>
      <w:lvlText w:val=""/>
      <w:lvlJc w:val="left"/>
      <w:pPr>
        <w:tabs>
          <w:tab w:val="num" w:pos="2520"/>
        </w:tabs>
        <w:ind w:left="2520" w:hanging="360"/>
      </w:pPr>
      <w:rPr>
        <w:rFonts w:ascii="Symbol" w:hAnsi="Symbol" w:cs="Times New Roman"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Times New Roman" w:hint="default"/>
      </w:rPr>
    </w:lvl>
    <w:lvl w:ilvl="6">
      <w:start w:val="1"/>
      <w:numFmt w:val="bullet"/>
      <w:lvlText w:val=""/>
      <w:lvlJc w:val="left"/>
      <w:pPr>
        <w:tabs>
          <w:tab w:val="num" w:pos="4680"/>
        </w:tabs>
        <w:ind w:left="4680" w:hanging="360"/>
      </w:pPr>
      <w:rPr>
        <w:rFonts w:ascii="Symbol" w:hAnsi="Symbol" w:cs="Times New Roman"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Times New Roman"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0"/>
    <w:footnote w:id="1"/>
  </w:footnotePr>
  <w:endnotePr>
    <w:endnote w:id="0"/>
    <w:endnote w:id="1"/>
  </w:endnotePr>
  <w:compat/>
  <w:rsids>
    <w:rsidRoot w:val="00B81D67"/>
    <w:rsid w:val="00B81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quote">
    <w:name w:val="o.quote"/>
    <w:pPr>
      <w:autoSpaceDE w:val="0"/>
      <w:autoSpaceDN w:val="0"/>
      <w:spacing w:line="340" w:lineRule="exact"/>
    </w:pPr>
    <w:rPr>
      <w:i/>
      <w:iCs/>
      <w:sz w:val="22"/>
      <w:szCs w:val="22"/>
    </w:rPr>
  </w:style>
  <w:style w:type="paragraph" w:customStyle="1" w:styleId="obodytext">
    <w:name w:val="o.body text"/>
    <w:pPr>
      <w:autoSpaceDE w:val="0"/>
      <w:autoSpaceDN w:val="0"/>
      <w:spacing w:after="100" w:line="280" w:lineRule="atLeast"/>
    </w:pPr>
    <w:rPr>
      <w:sz w:val="18"/>
      <w:szCs w:val="18"/>
    </w:rPr>
  </w:style>
  <w:style w:type="paragraph" w:customStyle="1" w:styleId="obodysubhead1">
    <w:name w:val="o.body subhead 1"/>
    <w:next w:val="obodytext"/>
    <w:pPr>
      <w:keepNext/>
      <w:autoSpaceDE w:val="0"/>
      <w:autoSpaceDN w:val="0"/>
      <w:spacing w:before="120" w:line="300" w:lineRule="exact"/>
    </w:pPr>
    <w:rPr>
      <w:rFonts w:ascii="Arial" w:hAnsi="Arial" w:cs="Arial"/>
      <w:b/>
      <w:bCs/>
      <w:color w:val="FF0000"/>
      <w:sz w:val="18"/>
      <w:szCs w:val="18"/>
    </w:rPr>
  </w:style>
  <w:style w:type="paragraph" w:customStyle="1" w:styleId="obodybullet">
    <w:name w:val="o.body bullet"/>
    <w:basedOn w:val="obodytext"/>
    <w:pPr>
      <w:numPr>
        <w:numId w:val="1"/>
      </w:numPr>
      <w:tabs>
        <w:tab w:val="left" w:pos="360"/>
        <w:tab w:val="num" w:pos="576"/>
      </w:tabs>
      <w:ind w:left="360"/>
    </w:pPr>
  </w:style>
  <w:style w:type="paragraph" w:customStyle="1" w:styleId="obodysubbullet">
    <w:name w:val="o.body subbullet"/>
    <w:basedOn w:val="obodybullet"/>
    <w:pPr>
      <w:tabs>
        <w:tab w:val="clear" w:pos="360"/>
        <w:tab w:val="clear" w:pos="576"/>
        <w:tab w:val="left" w:pos="504"/>
      </w:tabs>
      <w:ind w:left="504"/>
    </w:pPr>
  </w:style>
  <w:style w:type="paragraph" w:customStyle="1" w:styleId="oquotecompanyinfo">
    <w:name w:val="o.quote company info"/>
    <w:basedOn w:val="oquote"/>
    <w:pPr>
      <w:spacing w:after="240"/>
    </w:pPr>
    <w:rPr>
      <w:rFonts w:ascii="Arial" w:hAnsi="Arial" w:cs="Arial"/>
      <w:b/>
      <w:bCs/>
      <w:i w:val="0"/>
      <w:iCs w:val="0"/>
      <w:sz w:val="13"/>
      <w:szCs w:val="13"/>
    </w:rPr>
  </w:style>
  <w:style w:type="paragraph" w:customStyle="1" w:styleId="oheadertitle">
    <w:name w:val="o.header title"/>
    <w:pPr>
      <w:autoSpaceDE w:val="0"/>
      <w:autoSpaceDN w:val="0"/>
      <w:spacing w:after="40"/>
      <w:jc w:val="right"/>
    </w:pPr>
    <w:rPr>
      <w:rFonts w:ascii="Arial" w:hAnsi="Arial" w:cs="Arial"/>
      <w:caps/>
      <w:sz w:val="14"/>
      <w:szCs w:val="14"/>
    </w:rPr>
  </w:style>
  <w:style w:type="paragraph" w:customStyle="1" w:styleId="oheaderpersonalized">
    <w:name w:val="o.header personalized"/>
    <w:pPr>
      <w:autoSpaceDE w:val="0"/>
      <w:autoSpaceDN w:val="0"/>
      <w:jc w:val="right"/>
    </w:pPr>
    <w:rPr>
      <w:sz w:val="15"/>
      <w:szCs w:val="15"/>
    </w:rPr>
  </w:style>
  <w:style w:type="paragraph" w:customStyle="1" w:styleId="osidebartext">
    <w:name w:val="o.sidebar text"/>
    <w:pPr>
      <w:autoSpaceDE w:val="0"/>
      <w:autoSpaceDN w:val="0"/>
      <w:spacing w:after="40" w:line="200" w:lineRule="exact"/>
    </w:pPr>
    <w:rPr>
      <w:rFonts w:ascii="Arial" w:hAnsi="Arial" w:cs="Arial"/>
      <w:sz w:val="14"/>
      <w:szCs w:val="14"/>
    </w:rPr>
  </w:style>
  <w:style w:type="paragraph" w:customStyle="1" w:styleId="osidebarbullet">
    <w:name w:val="o.sidebar bullet"/>
    <w:basedOn w:val="osidebartext"/>
    <w:pPr>
      <w:numPr>
        <w:numId w:val="2"/>
      </w:numPr>
      <w:tabs>
        <w:tab w:val="left" w:pos="144"/>
      </w:tabs>
    </w:pPr>
  </w:style>
  <w:style w:type="paragraph" w:customStyle="1" w:styleId="osidebarsubhead">
    <w:name w:val="o.sidebar subhead"/>
    <w:basedOn w:val="osidebartext"/>
    <w:pPr>
      <w:spacing w:before="80" w:after="0"/>
    </w:pPr>
    <w:rPr>
      <w:b/>
      <w:bCs/>
    </w:rPr>
  </w:style>
  <w:style w:type="paragraph" w:customStyle="1" w:styleId="osidebarcompanyname">
    <w:name w:val="o.sidebar company name"/>
    <w:basedOn w:val="osidebarsubhead"/>
    <w:pPr>
      <w:spacing w:before="0" w:after="120"/>
    </w:pPr>
    <w:rPr>
      <w:caps/>
      <w:w w:val="95"/>
      <w:sz w:val="15"/>
      <w:szCs w:val="15"/>
    </w:rPr>
  </w:style>
  <w:style w:type="paragraph" w:customStyle="1" w:styleId="oSidebarIndustry">
    <w:name w:val="o.Sidebar Industry"/>
    <w:basedOn w:val="osidebartext"/>
    <w:pPr>
      <w:spacing w:before="80" w:after="0"/>
    </w:pPr>
    <w:rPr>
      <w:b/>
      <w:bCs/>
      <w:smallCaps/>
    </w:rPr>
  </w:style>
  <w:style w:type="paragraph" w:customStyle="1" w:styleId="osidebarcompanyinfo">
    <w:name w:val="o.sidebar company info"/>
    <w:basedOn w:val="osidebarsubhead"/>
    <w:pPr>
      <w:spacing w:before="0"/>
    </w:pPr>
    <w:rPr>
      <w:sz w:val="13"/>
      <w:szCs w:val="13"/>
    </w:rPr>
  </w:style>
  <w:style w:type="paragraph" w:customStyle="1" w:styleId="osidebarhead">
    <w:name w:val="o.sidebar head"/>
    <w:basedOn w:val="osidebartext"/>
    <w:pPr>
      <w:spacing w:before="40" w:line="140" w:lineRule="exact"/>
    </w:pPr>
    <w:rPr>
      <w:b/>
      <w:bCs/>
      <w:caps/>
      <w:color w:val="FFFFFF"/>
    </w:rPr>
  </w:style>
  <w:style w:type="paragraph" w:customStyle="1" w:styleId="ofooter">
    <w:name w:val="o.footer"/>
    <w:pPr>
      <w:tabs>
        <w:tab w:val="right" w:pos="4320"/>
        <w:tab w:val="right" w:pos="8640"/>
      </w:tabs>
      <w:autoSpaceDE w:val="0"/>
      <w:autoSpaceDN w:val="0"/>
      <w:jc w:val="both"/>
    </w:pPr>
    <w:rPr>
      <w:rFonts w:ascii="Arial" w:hAnsi="Arial" w:cs="Arial"/>
      <w:i/>
      <w:iCs/>
      <w:sz w:val="15"/>
      <w:szCs w:val="15"/>
    </w:rPr>
  </w:style>
  <w:style w:type="paragraph" w:customStyle="1" w:styleId="oDataSheetMainHead">
    <w:name w:val="o.Data Sheet Main Head"/>
    <w:pPr>
      <w:autoSpaceDE w:val="0"/>
      <w:autoSpaceDN w:val="0"/>
      <w:spacing w:line="400" w:lineRule="exact"/>
    </w:pPr>
    <w:rPr>
      <w:rFonts w:ascii="Arial" w:hAnsi="Arial" w:cs="Arial"/>
      <w:b/>
      <w:bCs/>
      <w:caps/>
      <w:color w:val="000000"/>
      <w:sz w:val="40"/>
      <w:szCs w:val="40"/>
    </w:rPr>
  </w:style>
  <w:style w:type="paragraph" w:customStyle="1" w:styleId="osidebarintro">
    <w:name w:val="o.sidebar intro"/>
    <w:basedOn w:val="osidebartext"/>
    <w:pPr>
      <w:spacing w:after="80" w:line="240" w:lineRule="exact"/>
    </w:pPr>
    <w:rPr>
      <w:caps/>
    </w:rPr>
  </w:style>
  <w:style w:type="paragraph" w:customStyle="1" w:styleId="ointroduction">
    <w:name w:val="o.introduction"/>
    <w:pPr>
      <w:autoSpaceDE w:val="0"/>
      <w:autoSpaceDN w:val="0"/>
      <w:spacing w:after="240" w:line="340" w:lineRule="exact"/>
    </w:pPr>
    <w:rPr>
      <w:i/>
      <w:iCs/>
      <w:sz w:val="22"/>
      <w:szCs w:val="22"/>
    </w:rPr>
  </w:style>
  <w:style w:type="paragraph" w:customStyle="1" w:styleId="obodyphotonote">
    <w:name w:val="o.body photo note"/>
    <w:basedOn w:val="obodytext"/>
    <w:rPr>
      <w:rFonts w:ascii="Arial" w:hAnsi="Arial" w:cs="Arial"/>
      <w:b/>
      <w:bCs/>
      <w:sz w:val="14"/>
      <w:szCs w:val="1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opagenumber">
    <w:name w:val="o.page number"/>
    <w:basedOn w:val="ofooter"/>
    <w:rPr>
      <w:b/>
      <w:bCs/>
      <w:i w:val="0"/>
      <w:iCs w:val="0"/>
    </w:rPr>
  </w:style>
  <w:style w:type="paragraph" w:customStyle="1" w:styleId="obodysubhead2">
    <w:name w:val="o.body subhead 2"/>
    <w:basedOn w:val="obodytext"/>
    <w:next w:val="obodytext"/>
    <w:pPr>
      <w:keepNext/>
      <w:spacing w:after="0"/>
    </w:pPr>
    <w:rPr>
      <w:b/>
      <w:bCs/>
      <w:color w:val="FF0000"/>
    </w:rPr>
  </w:style>
  <w:style w:type="paragraph" w:customStyle="1" w:styleId="LEGAL">
    <w:name w:val="LEGAL"/>
    <w:basedOn w:val="Normal"/>
    <w:pPr>
      <w:autoSpaceDE/>
      <w:autoSpaceDN/>
    </w:pPr>
    <w:rPr>
      <w:rFonts w:ascii="Univers LT Std 55" w:eastAsia="Times" w:hAnsi="Univers LT Std 55"/>
      <w:color w:val="000000"/>
      <w:sz w:val="11"/>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Default">
    <w:name w:val="Default"/>
    <w:pPr>
      <w:widowControl w:val="0"/>
      <w:autoSpaceDE w:val="0"/>
      <w:autoSpaceDN w:val="0"/>
      <w:adjustRightInd w:val="0"/>
    </w:pPr>
    <w:rPr>
      <w:rFonts w:ascii="Officina Sans ITC TT" w:hAnsi="Officina Sans ITC TT" w:cs="Officina Sans ITC TT"/>
      <w:color w:val="000000"/>
      <w:sz w:val="24"/>
      <w:szCs w:val="24"/>
    </w:rPr>
  </w:style>
  <w:style w:type="paragraph" w:customStyle="1" w:styleId="CM2">
    <w:name w:val="CM2"/>
    <w:basedOn w:val="Default"/>
    <w:next w:val="Default"/>
    <w:rPr>
      <w:rFonts w:cs="Times New Roman"/>
      <w:color w:val="auto"/>
    </w:rPr>
  </w:style>
  <w:style w:type="paragraph" w:customStyle="1" w:styleId="CM1">
    <w:name w:val="CM1"/>
    <w:basedOn w:val="Default"/>
    <w:next w:val="Default"/>
    <w:pPr>
      <w:spacing w:line="251" w:lineRule="atLeast"/>
    </w:pPr>
    <w:rPr>
      <w:rFonts w:cs="Times New Roman"/>
      <w:color w:val="auto"/>
    </w:rPr>
  </w:style>
  <w:style w:type="paragraph" w:styleId="NormalWeb">
    <w:name w:val="Normal (Web)"/>
    <w:basedOn w:val="Normal"/>
    <w:semiHidden/>
    <w:pPr>
      <w:autoSpaceDE/>
      <w:autoSpaceDN/>
      <w:spacing w:before="100" w:beforeAutospacing="1" w:after="100" w:afterAutospacing="1"/>
      <w:jc w:val="both"/>
    </w:pPr>
    <w:rPr>
      <w:rFonts w:ascii="Arial" w:hAnsi="Arial" w:cs="Arial"/>
      <w:color w:val="4F504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D7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832</Words>
  <Characters>4745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Oracle Data Sheet</vt:lpstr>
    </vt:vector>
  </TitlesOfParts>
  <Company> </Company>
  <LinksUpToDate>false</LinksUpToDate>
  <CharactersWithSpaces>5566</CharactersWithSpaces>
  <SharedDoc>false</SharedDoc>
  <HLinks>
    <vt:vector size="6" baseType="variant">
      <vt:variant>
        <vt:i4>5111815</vt:i4>
      </vt:variant>
      <vt:variant>
        <vt:i4>4710</vt:i4>
      </vt:variant>
      <vt:variant>
        <vt:i4>1025</vt:i4>
      </vt:variant>
      <vt:variant>
        <vt:i4>1</vt:i4>
      </vt:variant>
      <vt:variant>
        <vt:lpwstr>montage2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Data Sheet</dc:title>
  <dc:subject/>
  <dc:creator>SYSTEM</dc:creator>
  <cp:keywords/>
  <dc:description/>
  <cp:lastModifiedBy>AlexandreRoumiantsev</cp:lastModifiedBy>
  <cp:revision>2</cp:revision>
  <cp:lastPrinted>2007-10-22T18:28:00Z</cp:lastPrinted>
  <dcterms:created xsi:type="dcterms:W3CDTF">2008-03-28T21:28:00Z</dcterms:created>
  <dcterms:modified xsi:type="dcterms:W3CDTF">2008-03-28T21:28:00Z</dcterms:modified>
</cp:coreProperties>
</file>